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5E6B" w14:textId="2F117162" w:rsidR="008A06CA" w:rsidRPr="004F2C6F" w:rsidRDefault="008A06CA" w:rsidP="008A06CA">
      <w:pPr>
        <w:spacing w:after="44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F2C6F">
        <w:rPr>
          <w:rFonts w:ascii="Arial" w:hAnsi="Arial" w:cs="Arial"/>
          <w:b/>
          <w:sz w:val="24"/>
          <w:szCs w:val="24"/>
        </w:rPr>
        <w:t xml:space="preserve">Yanfeng </w:t>
      </w:r>
      <w:r w:rsidR="009A7B88" w:rsidRPr="009A7B88">
        <w:rPr>
          <w:rFonts w:ascii="Arial" w:hAnsi="Arial" w:cs="Arial"/>
          <w:b/>
          <w:bCs/>
          <w:sz w:val="24"/>
          <w:szCs w:val="24"/>
        </w:rPr>
        <w:t>ist ein weltweit führender Automobilzulieferer</w:t>
      </w:r>
      <w:r w:rsidRPr="004F2C6F">
        <w:rPr>
          <w:rFonts w:ascii="Arial" w:hAnsi="Arial" w:cs="Arial"/>
          <w:b/>
          <w:sz w:val="24"/>
          <w:szCs w:val="24"/>
        </w:rPr>
        <w:t>.</w:t>
      </w:r>
    </w:p>
    <w:p w14:paraId="554CEFE8" w14:textId="77777777" w:rsidR="008A06CA" w:rsidRPr="004F2C6F" w:rsidRDefault="008A06CA" w:rsidP="008A06CA">
      <w:pPr>
        <w:spacing w:after="120" w:line="240" w:lineRule="auto"/>
        <w:rPr>
          <w:rFonts w:ascii="Arial" w:hAnsi="Arial"/>
          <w:b/>
          <w:sz w:val="20"/>
          <w:szCs w:val="20"/>
        </w:rPr>
      </w:pPr>
    </w:p>
    <w:p w14:paraId="281F2FB6" w14:textId="77777777" w:rsidR="00234E67" w:rsidRPr="00234E67" w:rsidRDefault="00234E67" w:rsidP="00234E67">
      <w:pPr>
        <w:spacing w:after="120" w:line="240" w:lineRule="auto"/>
        <w:rPr>
          <w:rFonts w:ascii="Arial" w:hAnsi="Arial"/>
          <w:b/>
          <w:sz w:val="28"/>
          <w:szCs w:val="28"/>
        </w:rPr>
      </w:pPr>
      <w:r w:rsidRPr="00234E67">
        <w:rPr>
          <w:rFonts w:ascii="Arial" w:hAnsi="Arial"/>
          <w:b/>
          <w:sz w:val="28"/>
          <w:szCs w:val="28"/>
        </w:rPr>
        <w:t>Daten &amp; Fakten (weltweit)</w:t>
      </w:r>
    </w:p>
    <w:tbl>
      <w:tblPr>
        <w:tblW w:w="5044" w:type="pct"/>
        <w:tblBorders>
          <w:top w:val="single" w:sz="4" w:space="0" w:color="2D4A9B"/>
          <w:bottom w:val="single" w:sz="4" w:space="0" w:color="2D4A9B"/>
          <w:insideH w:val="single" w:sz="4" w:space="0" w:color="2D4A9B"/>
        </w:tblBorders>
        <w:tblLayout w:type="fixed"/>
        <w:tblCellMar>
          <w:top w:w="85" w:type="dxa"/>
          <w:left w:w="0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0"/>
        <w:gridCol w:w="6388"/>
      </w:tblGrid>
      <w:tr w:rsidR="008A06CA" w:rsidRPr="00335E46" w14:paraId="02264EE6" w14:textId="77777777" w:rsidTr="00B51288">
        <w:trPr>
          <w:trHeight w:val="575"/>
        </w:trPr>
        <w:tc>
          <w:tcPr>
            <w:tcW w:w="1637" w:type="pct"/>
          </w:tcPr>
          <w:p w14:paraId="277DD7F7" w14:textId="156BB4BC" w:rsidR="008A06CA" w:rsidRPr="000737FB" w:rsidRDefault="00234E67" w:rsidP="0050564D">
            <w:pPr>
              <w:tabs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737FB">
              <w:rPr>
                <w:rFonts w:ascii="Arial" w:hAnsi="Arial" w:cs="Arial"/>
                <w:b/>
                <w:sz w:val="20"/>
                <w:szCs w:val="20"/>
              </w:rPr>
              <w:t>Unternehmenszentrale</w:t>
            </w:r>
          </w:p>
        </w:tc>
        <w:tc>
          <w:tcPr>
            <w:tcW w:w="3363" w:type="pct"/>
            <w:tcBorders>
              <w:right w:val="nil"/>
            </w:tcBorders>
          </w:tcPr>
          <w:p w14:paraId="21D2E40B" w14:textId="77777777" w:rsidR="008A06CA" w:rsidRPr="000737FB" w:rsidRDefault="008A06CA" w:rsidP="0050564D">
            <w:pPr>
              <w:tabs>
                <w:tab w:val="left" w:pos="2907"/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737FB">
              <w:rPr>
                <w:rFonts w:ascii="Arial" w:hAnsi="Arial" w:cs="Arial"/>
                <w:sz w:val="20"/>
                <w:szCs w:val="20"/>
                <w:lang w:val="en-US"/>
              </w:rPr>
              <w:t>Yanfeng</w:t>
            </w:r>
          </w:p>
          <w:p w14:paraId="6D8E2B76" w14:textId="4A18F67B" w:rsidR="008A06CA" w:rsidRPr="000737FB" w:rsidRDefault="000737FB" w:rsidP="008A06CA">
            <w:pPr>
              <w:tabs>
                <w:tab w:val="left" w:pos="2907"/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35E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669 Kang’an Road</w:t>
            </w:r>
            <w:r w:rsidRPr="00335E4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br/>
            </w:r>
            <w:r w:rsidR="008A06CA" w:rsidRPr="000737FB">
              <w:rPr>
                <w:rFonts w:ascii="Arial" w:hAnsi="Arial" w:cs="Arial"/>
                <w:sz w:val="20"/>
                <w:szCs w:val="20"/>
                <w:lang w:val="en-US"/>
              </w:rPr>
              <w:t>Shanghai, China</w:t>
            </w:r>
          </w:p>
        </w:tc>
      </w:tr>
      <w:tr w:rsidR="008A06CA" w:rsidRPr="00234E67" w14:paraId="1937A328" w14:textId="77777777" w:rsidTr="00B51288">
        <w:trPr>
          <w:trHeight w:val="189"/>
        </w:trPr>
        <w:tc>
          <w:tcPr>
            <w:tcW w:w="1637" w:type="pct"/>
          </w:tcPr>
          <w:p w14:paraId="12AD78F1" w14:textId="77777777" w:rsidR="008A06CA" w:rsidRPr="00C70018" w:rsidRDefault="000624C2" w:rsidP="0050564D">
            <w:pPr>
              <w:pStyle w:val="BodyText"/>
              <w:tabs>
                <w:tab w:val="left" w:pos="3119"/>
                <w:tab w:val="left" w:pos="3261"/>
              </w:tabs>
              <w:rPr>
                <w:rFonts w:cs="Arial"/>
                <w:sz w:val="20"/>
                <w:lang w:val="de-DE"/>
              </w:rPr>
            </w:pPr>
            <w:r w:rsidRPr="00C70018">
              <w:rPr>
                <w:rFonts w:cs="Arial"/>
                <w:sz w:val="20"/>
                <w:lang w:val="de-DE"/>
              </w:rPr>
              <w:t>CEO</w:t>
            </w:r>
          </w:p>
        </w:tc>
        <w:tc>
          <w:tcPr>
            <w:tcW w:w="3363" w:type="pct"/>
          </w:tcPr>
          <w:p w14:paraId="7F952EF6" w14:textId="1861CD90" w:rsidR="008A06CA" w:rsidRPr="00C70018" w:rsidRDefault="00AB3D48" w:rsidP="00C70018">
            <w:pPr>
              <w:tabs>
                <w:tab w:val="left" w:pos="2907"/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 Kai</w:t>
            </w:r>
          </w:p>
        </w:tc>
      </w:tr>
      <w:tr w:rsidR="008A06CA" w:rsidRPr="00234E67" w14:paraId="40CE261E" w14:textId="77777777" w:rsidTr="00B51288">
        <w:trPr>
          <w:trHeight w:val="558"/>
        </w:trPr>
        <w:tc>
          <w:tcPr>
            <w:tcW w:w="1637" w:type="pct"/>
          </w:tcPr>
          <w:p w14:paraId="067AFEE4" w14:textId="230C5F56" w:rsidR="008A06CA" w:rsidRPr="00C70018" w:rsidRDefault="00234E67" w:rsidP="0050564D">
            <w:pPr>
              <w:pStyle w:val="BodyText"/>
              <w:tabs>
                <w:tab w:val="left" w:pos="3119"/>
                <w:tab w:val="left" w:pos="3261"/>
              </w:tabs>
              <w:rPr>
                <w:rFonts w:cs="Arial"/>
                <w:sz w:val="20"/>
                <w:lang w:val="de-DE"/>
              </w:rPr>
            </w:pPr>
            <w:r w:rsidRPr="00C70018">
              <w:rPr>
                <w:rFonts w:cs="Arial"/>
                <w:sz w:val="20"/>
                <w:lang w:val="de-DE"/>
              </w:rPr>
              <w:t>Produktsegmente</w:t>
            </w:r>
          </w:p>
        </w:tc>
        <w:tc>
          <w:tcPr>
            <w:tcW w:w="3363" w:type="pct"/>
          </w:tcPr>
          <w:p w14:paraId="552AC184" w14:textId="61826B46" w:rsidR="008A06CA" w:rsidRPr="00C70018" w:rsidRDefault="009A7B88" w:rsidP="0050564D">
            <w:pPr>
              <w:tabs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C70018">
              <w:rPr>
                <w:rFonts w:ascii="Arial" w:hAnsi="Arial" w:cs="Arial"/>
                <w:bCs/>
                <w:sz w:val="20"/>
                <w:szCs w:val="20"/>
              </w:rPr>
              <w:t>utomobiles Interieur</w:t>
            </w:r>
            <w:r w:rsidRPr="00C700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8A06CA" w:rsidRPr="00C70018">
              <w:rPr>
                <w:rFonts w:ascii="Arial" w:hAnsi="Arial" w:cs="Arial"/>
                <w:sz w:val="20"/>
                <w:szCs w:val="20"/>
              </w:rPr>
              <w:t>Auto</w:t>
            </w:r>
            <w:r>
              <w:rPr>
                <w:rFonts w:ascii="Arial" w:hAnsi="Arial" w:cs="Arial"/>
                <w:sz w:val="20"/>
                <w:szCs w:val="20"/>
              </w:rPr>
              <w:t>sitze</w:t>
            </w:r>
          </w:p>
          <w:p w14:paraId="644ED3D8" w14:textId="4BBC053D" w:rsidR="008A06CA" w:rsidRPr="00C70018" w:rsidRDefault="009A7B88" w:rsidP="0050564D">
            <w:pPr>
              <w:tabs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C70018">
              <w:rPr>
                <w:rFonts w:ascii="Arial" w:hAnsi="Arial" w:cs="Arial"/>
                <w:bCs/>
                <w:sz w:val="20"/>
                <w:szCs w:val="20"/>
              </w:rPr>
              <w:t xml:space="preserve">utomobiles </w:t>
            </w:r>
            <w:r>
              <w:rPr>
                <w:rFonts w:ascii="Arial" w:hAnsi="Arial" w:cs="Arial"/>
                <w:sz w:val="20"/>
                <w:szCs w:val="20"/>
              </w:rPr>
              <w:t>Exterieur</w:t>
            </w:r>
          </w:p>
          <w:p w14:paraId="3F21FF14" w14:textId="50BBD880" w:rsidR="008A06CA" w:rsidRPr="00C70018" w:rsidRDefault="00234E67" w:rsidP="0050564D">
            <w:pPr>
              <w:tabs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018">
              <w:rPr>
                <w:rFonts w:ascii="Arial" w:hAnsi="Arial" w:cs="Arial"/>
                <w:sz w:val="20"/>
                <w:szCs w:val="20"/>
              </w:rPr>
              <w:t>Cockpit-Elektronik</w:t>
            </w:r>
          </w:p>
          <w:p w14:paraId="1643748A" w14:textId="3E8EF448" w:rsidR="008A06CA" w:rsidRPr="00C70018" w:rsidRDefault="008A06CA" w:rsidP="0050564D">
            <w:pPr>
              <w:tabs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018">
              <w:rPr>
                <w:rFonts w:ascii="Arial" w:hAnsi="Arial" w:cs="Arial"/>
                <w:sz w:val="20"/>
                <w:szCs w:val="20"/>
              </w:rPr>
              <w:t xml:space="preserve">Passive 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234E67" w:rsidRPr="00C70018">
              <w:rPr>
                <w:rFonts w:ascii="Arial" w:hAnsi="Arial" w:cs="Arial"/>
                <w:noProof/>
                <w:sz w:val="20"/>
                <w:szCs w:val="20"/>
              </w:rPr>
              <w:t>icherheit</w:t>
            </w:r>
            <w:r w:rsidR="009A7B88">
              <w:rPr>
                <w:rFonts w:ascii="Arial" w:hAnsi="Arial" w:cs="Arial"/>
                <w:noProof/>
                <w:sz w:val="20"/>
                <w:szCs w:val="20"/>
              </w:rPr>
              <w:t>ssyteme</w:t>
            </w:r>
          </w:p>
          <w:p w14:paraId="34DA968B" w14:textId="2A55BC9B" w:rsidR="008A06CA" w:rsidRPr="00C70018" w:rsidRDefault="003C4173" w:rsidP="0050564D">
            <w:pPr>
              <w:tabs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Smarte Produktlösungen</w:t>
            </w:r>
          </w:p>
        </w:tc>
      </w:tr>
      <w:tr w:rsidR="008A06CA" w:rsidRPr="00234E67" w14:paraId="2DFB4874" w14:textId="77777777" w:rsidTr="00B51288">
        <w:trPr>
          <w:trHeight w:val="269"/>
        </w:trPr>
        <w:tc>
          <w:tcPr>
            <w:tcW w:w="1637" w:type="pct"/>
            <w:tcBorders>
              <w:top w:val="nil"/>
              <w:bottom w:val="nil"/>
            </w:tcBorders>
          </w:tcPr>
          <w:p w14:paraId="3F991BA6" w14:textId="4E02D621" w:rsidR="008A06CA" w:rsidRPr="00C70018" w:rsidRDefault="00234E67" w:rsidP="0050564D">
            <w:pPr>
              <w:pStyle w:val="BodyText"/>
              <w:tabs>
                <w:tab w:val="left" w:pos="3119"/>
                <w:tab w:val="left" w:pos="3261"/>
              </w:tabs>
              <w:rPr>
                <w:rFonts w:cs="Arial"/>
                <w:b w:val="0"/>
                <w:sz w:val="20"/>
                <w:lang w:val="de-DE"/>
              </w:rPr>
            </w:pPr>
            <w:r w:rsidRPr="00C70018">
              <w:rPr>
                <w:rFonts w:cs="Arial"/>
                <w:sz w:val="20"/>
                <w:lang w:val="de-DE"/>
              </w:rPr>
              <w:t>Umsatz weltweit</w:t>
            </w:r>
          </w:p>
        </w:tc>
        <w:tc>
          <w:tcPr>
            <w:tcW w:w="3363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C68578" w14:textId="78A99A1B" w:rsidR="00B51288" w:rsidRPr="00C70018" w:rsidRDefault="005F3913" w:rsidP="00E569A4">
            <w:pPr>
              <w:tabs>
                <w:tab w:val="left" w:pos="3119"/>
                <w:tab w:val="left" w:pos="3261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76AC">
              <w:rPr>
                <w:rFonts w:ascii="Arial" w:hAnsi="Arial" w:cs="Arial"/>
                <w:sz w:val="20"/>
                <w:szCs w:val="20"/>
              </w:rPr>
              <w:t>5</w:t>
            </w:r>
            <w:r w:rsidR="008A06CA" w:rsidRPr="00C700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4E67" w:rsidRPr="00C70018">
              <w:rPr>
                <w:rFonts w:ascii="Arial" w:hAnsi="Arial" w:cs="Arial"/>
                <w:sz w:val="20"/>
                <w:szCs w:val="20"/>
              </w:rPr>
              <w:t>Mrd.</w:t>
            </w:r>
            <w:r w:rsidR="008A06CA" w:rsidRPr="00C700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0018" w:rsidRPr="00C70018">
              <w:rPr>
                <w:rFonts w:ascii="Arial" w:hAnsi="Arial" w:cs="Arial"/>
                <w:sz w:val="20"/>
                <w:szCs w:val="20"/>
              </w:rPr>
              <w:t>USD</w:t>
            </w:r>
            <w:r w:rsidR="007930F4">
              <w:rPr>
                <w:rFonts w:ascii="Arial" w:hAnsi="Arial" w:cs="Arial"/>
                <w:sz w:val="20"/>
                <w:szCs w:val="20"/>
              </w:rPr>
              <w:t xml:space="preserve"> in 20</w:t>
            </w:r>
            <w:r w:rsidR="00E22644">
              <w:rPr>
                <w:rFonts w:ascii="Arial" w:hAnsi="Arial" w:cs="Arial"/>
                <w:sz w:val="20"/>
                <w:szCs w:val="20"/>
              </w:rPr>
              <w:t>2</w:t>
            </w:r>
            <w:r w:rsidR="00F276AC">
              <w:rPr>
                <w:rFonts w:ascii="Arial" w:hAnsi="Arial" w:cs="Arial"/>
                <w:sz w:val="20"/>
                <w:szCs w:val="20"/>
              </w:rPr>
              <w:t>2</w:t>
            </w:r>
            <w:r w:rsidR="008A06CA" w:rsidRPr="00C700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A06CA" w:rsidRPr="00234E67" w14:paraId="68BF9A0B" w14:textId="77777777" w:rsidTr="00B51288">
        <w:trPr>
          <w:trHeight w:val="269"/>
        </w:trPr>
        <w:tc>
          <w:tcPr>
            <w:tcW w:w="1637" w:type="pct"/>
            <w:tcBorders>
              <w:bottom w:val="nil"/>
            </w:tcBorders>
          </w:tcPr>
          <w:p w14:paraId="1C17475C" w14:textId="012B5FA8" w:rsidR="008A06CA" w:rsidRPr="00C70018" w:rsidRDefault="00234E67" w:rsidP="0050564D">
            <w:pPr>
              <w:pStyle w:val="BodyText"/>
              <w:tabs>
                <w:tab w:val="left" w:pos="3119"/>
                <w:tab w:val="left" w:pos="3261"/>
              </w:tabs>
              <w:rPr>
                <w:rFonts w:cs="Arial"/>
                <w:sz w:val="20"/>
                <w:lang w:val="de-DE"/>
              </w:rPr>
            </w:pPr>
            <w:r w:rsidRPr="00C70018">
              <w:rPr>
                <w:rFonts w:cs="Arial"/>
                <w:sz w:val="20"/>
                <w:lang w:val="de-DE"/>
              </w:rPr>
              <w:t>Mitarbeiter weltweit</w:t>
            </w:r>
          </w:p>
        </w:tc>
        <w:tc>
          <w:tcPr>
            <w:tcW w:w="3363" w:type="pct"/>
            <w:tcBorders>
              <w:bottom w:val="nil"/>
            </w:tcBorders>
          </w:tcPr>
          <w:p w14:paraId="1B3559B8" w14:textId="374F4932" w:rsidR="008A06CA" w:rsidRPr="00C70018" w:rsidRDefault="004D2842" w:rsidP="00C70018">
            <w:pPr>
              <w:tabs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  <w:r w:rsidR="005F3913">
              <w:rPr>
                <w:rFonts w:ascii="Arial" w:hAnsi="Arial" w:cs="Arial"/>
                <w:sz w:val="20"/>
                <w:szCs w:val="20"/>
              </w:rPr>
              <w:t>.</w:t>
            </w:r>
            <w:r w:rsidR="008A06CA" w:rsidRPr="00C7001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8A06CA" w:rsidRPr="00234E67" w14:paraId="0ED1CD60" w14:textId="77777777" w:rsidTr="00B51288">
        <w:trPr>
          <w:trHeight w:val="269"/>
        </w:trPr>
        <w:tc>
          <w:tcPr>
            <w:tcW w:w="1637" w:type="pct"/>
            <w:tcBorders>
              <w:bottom w:val="nil"/>
            </w:tcBorders>
          </w:tcPr>
          <w:p w14:paraId="19858CAA" w14:textId="6BE5725D" w:rsidR="008A06CA" w:rsidRPr="00C70018" w:rsidRDefault="00234E67" w:rsidP="0050564D">
            <w:pPr>
              <w:pStyle w:val="BodyText"/>
              <w:tabs>
                <w:tab w:val="left" w:pos="3119"/>
                <w:tab w:val="left" w:pos="3261"/>
              </w:tabs>
              <w:rPr>
                <w:rFonts w:cs="Arial"/>
                <w:sz w:val="20"/>
                <w:lang w:val="de-DE"/>
              </w:rPr>
            </w:pPr>
            <w:r w:rsidRPr="00C70018">
              <w:rPr>
                <w:rFonts w:cs="Arial"/>
                <w:sz w:val="20"/>
                <w:lang w:val="de-DE"/>
              </w:rPr>
              <w:t>Standorte weltweit</w:t>
            </w:r>
          </w:p>
        </w:tc>
        <w:tc>
          <w:tcPr>
            <w:tcW w:w="3363" w:type="pct"/>
            <w:tcBorders>
              <w:bottom w:val="nil"/>
            </w:tcBorders>
          </w:tcPr>
          <w:p w14:paraId="37C800C1" w14:textId="1D110721" w:rsidR="008A06CA" w:rsidRPr="00C70018" w:rsidRDefault="008A06CA" w:rsidP="00C70018">
            <w:pPr>
              <w:tabs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0018">
              <w:rPr>
                <w:rFonts w:ascii="Arial" w:hAnsi="Arial" w:cs="Arial"/>
                <w:sz w:val="20"/>
                <w:szCs w:val="20"/>
              </w:rPr>
              <w:t xml:space="preserve">240 in 20 </w:t>
            </w:r>
            <w:r w:rsidR="009A7B88">
              <w:rPr>
                <w:rFonts w:ascii="Arial" w:hAnsi="Arial" w:cs="Arial"/>
                <w:sz w:val="20"/>
                <w:szCs w:val="20"/>
              </w:rPr>
              <w:t>Ländern</w:t>
            </w:r>
          </w:p>
        </w:tc>
      </w:tr>
      <w:tr w:rsidR="008A06CA" w:rsidRPr="00234E67" w14:paraId="48EF6082" w14:textId="77777777" w:rsidTr="00B51288">
        <w:trPr>
          <w:trHeight w:val="269"/>
        </w:trPr>
        <w:tc>
          <w:tcPr>
            <w:tcW w:w="1637" w:type="pct"/>
            <w:tcBorders>
              <w:bottom w:val="nil"/>
            </w:tcBorders>
          </w:tcPr>
          <w:p w14:paraId="21C08683" w14:textId="0F1D8FCE" w:rsidR="008A06CA" w:rsidRPr="00C70018" w:rsidRDefault="00234E67" w:rsidP="0050564D">
            <w:pPr>
              <w:pStyle w:val="BodyText"/>
              <w:tabs>
                <w:tab w:val="left" w:pos="3119"/>
                <w:tab w:val="left" w:pos="3261"/>
              </w:tabs>
              <w:rPr>
                <w:rFonts w:cs="Arial"/>
                <w:sz w:val="20"/>
                <w:lang w:val="de-DE"/>
              </w:rPr>
            </w:pPr>
            <w:r w:rsidRPr="00C70018">
              <w:rPr>
                <w:rFonts w:cs="Arial"/>
                <w:sz w:val="20"/>
                <w:lang w:val="de-DE"/>
              </w:rPr>
              <w:t>F</w:t>
            </w:r>
            <w:r w:rsidR="00F1204B">
              <w:rPr>
                <w:rFonts w:cs="Arial"/>
                <w:sz w:val="20"/>
                <w:lang w:val="de-DE"/>
              </w:rPr>
              <w:t xml:space="preserve">orschung </w:t>
            </w:r>
            <w:r w:rsidR="008A06CA" w:rsidRPr="00C70018">
              <w:rPr>
                <w:rFonts w:cs="Arial"/>
                <w:sz w:val="20"/>
                <w:lang w:val="de-DE"/>
              </w:rPr>
              <w:t>&amp;</w:t>
            </w:r>
            <w:r w:rsidR="00F1204B">
              <w:rPr>
                <w:rFonts w:cs="Arial"/>
                <w:sz w:val="20"/>
                <w:lang w:val="de-DE"/>
              </w:rPr>
              <w:t xml:space="preserve"> </w:t>
            </w:r>
            <w:r w:rsidRPr="00C70018">
              <w:rPr>
                <w:rFonts w:cs="Arial"/>
                <w:sz w:val="20"/>
                <w:lang w:val="de-DE"/>
              </w:rPr>
              <w:t>E</w:t>
            </w:r>
            <w:r w:rsidR="00F1204B">
              <w:rPr>
                <w:rFonts w:cs="Arial"/>
                <w:sz w:val="20"/>
                <w:lang w:val="de-DE"/>
              </w:rPr>
              <w:t>ntwicklung</w:t>
            </w:r>
          </w:p>
        </w:tc>
        <w:tc>
          <w:tcPr>
            <w:tcW w:w="3363" w:type="pct"/>
            <w:tcBorders>
              <w:bottom w:val="nil"/>
            </w:tcBorders>
          </w:tcPr>
          <w:p w14:paraId="71F510A0" w14:textId="4EA3D049" w:rsidR="008A06CA" w:rsidRPr="00C70018" w:rsidRDefault="00F959EB" w:rsidP="0050564D">
            <w:pPr>
              <w:tabs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276AC">
              <w:rPr>
                <w:rFonts w:ascii="Arial" w:hAnsi="Arial" w:cs="Arial"/>
                <w:sz w:val="20"/>
                <w:szCs w:val="20"/>
              </w:rPr>
              <w:t>2</w:t>
            </w:r>
            <w:r w:rsidR="00234E67" w:rsidRPr="00C70018">
              <w:rPr>
                <w:rFonts w:ascii="Arial" w:hAnsi="Arial" w:cs="Arial"/>
                <w:sz w:val="20"/>
                <w:szCs w:val="20"/>
              </w:rPr>
              <w:t xml:space="preserve"> F</w:t>
            </w:r>
            <w:r w:rsidR="00230D15" w:rsidRPr="00C70018">
              <w:rPr>
                <w:rFonts w:ascii="Arial" w:hAnsi="Arial" w:cs="Arial"/>
                <w:sz w:val="20"/>
                <w:szCs w:val="20"/>
              </w:rPr>
              <w:t>&amp;</w:t>
            </w:r>
            <w:r w:rsidR="00234E67" w:rsidRPr="00C70018">
              <w:rPr>
                <w:rFonts w:ascii="Arial" w:hAnsi="Arial" w:cs="Arial"/>
                <w:sz w:val="20"/>
                <w:szCs w:val="20"/>
              </w:rPr>
              <w:t>E</w:t>
            </w:r>
            <w:r w:rsidR="00230D15" w:rsidRPr="00C700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EBB">
              <w:rPr>
                <w:rFonts w:ascii="Arial" w:hAnsi="Arial" w:cs="Arial"/>
                <w:sz w:val="20"/>
                <w:szCs w:val="20"/>
              </w:rPr>
              <w:t>Zentren</w:t>
            </w:r>
          </w:p>
          <w:p w14:paraId="618BBD70" w14:textId="734C6F86" w:rsidR="008A06CA" w:rsidRPr="00C70018" w:rsidRDefault="00335518" w:rsidP="00B51288">
            <w:pPr>
              <w:tabs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F3913">
              <w:rPr>
                <w:rFonts w:ascii="Arial" w:hAnsi="Arial" w:cs="Arial"/>
                <w:sz w:val="20"/>
                <w:szCs w:val="20"/>
              </w:rPr>
              <w:t>.</w:t>
            </w:r>
            <w:r w:rsidR="00930774">
              <w:rPr>
                <w:rFonts w:ascii="Arial" w:hAnsi="Arial" w:cs="Arial"/>
                <w:sz w:val="20"/>
                <w:szCs w:val="20"/>
              </w:rPr>
              <w:t>1</w:t>
            </w:r>
            <w:r w:rsidR="00230D15" w:rsidRPr="00C70018">
              <w:rPr>
                <w:rFonts w:ascii="Arial" w:hAnsi="Arial" w:cs="Arial"/>
                <w:sz w:val="20"/>
                <w:szCs w:val="20"/>
              </w:rPr>
              <w:t>00+ Expert</w:t>
            </w:r>
            <w:r w:rsidR="00234E67" w:rsidRPr="00C70018">
              <w:rPr>
                <w:rFonts w:ascii="Arial" w:hAnsi="Arial" w:cs="Arial"/>
                <w:sz w:val="20"/>
                <w:szCs w:val="20"/>
              </w:rPr>
              <w:t>en</w:t>
            </w:r>
            <w:r w:rsidR="00230D15" w:rsidRPr="00C700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543C7" w:rsidRPr="00234E67" w14:paraId="643456B4" w14:textId="77777777" w:rsidTr="00CB1C6C">
        <w:trPr>
          <w:trHeight w:val="3189"/>
        </w:trPr>
        <w:tc>
          <w:tcPr>
            <w:tcW w:w="1637" w:type="pct"/>
            <w:tcBorders>
              <w:bottom w:val="nil"/>
            </w:tcBorders>
          </w:tcPr>
          <w:p w14:paraId="1FB1AD99" w14:textId="7F2FAF53" w:rsidR="00A543C7" w:rsidRPr="00C70018" w:rsidRDefault="00234E67" w:rsidP="0050564D">
            <w:pPr>
              <w:pStyle w:val="BodyText"/>
              <w:tabs>
                <w:tab w:val="left" w:pos="3119"/>
                <w:tab w:val="left" w:pos="3261"/>
              </w:tabs>
              <w:rPr>
                <w:rFonts w:cs="Arial"/>
                <w:sz w:val="20"/>
                <w:lang w:val="de-DE"/>
              </w:rPr>
            </w:pPr>
            <w:r w:rsidRPr="00C70018">
              <w:rPr>
                <w:rFonts w:cs="Arial"/>
                <w:sz w:val="20"/>
                <w:lang w:val="de-DE"/>
              </w:rPr>
              <w:t>Unternehmensbeschreibung</w:t>
            </w:r>
          </w:p>
        </w:tc>
        <w:tc>
          <w:tcPr>
            <w:tcW w:w="3363" w:type="pct"/>
            <w:tcBorders>
              <w:bottom w:val="nil"/>
            </w:tcBorders>
          </w:tcPr>
          <w:p w14:paraId="7E5D813F" w14:textId="5C30D2D7" w:rsidR="00556936" w:rsidRPr="00C70018" w:rsidRDefault="00556936" w:rsidP="00037FA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right="-88"/>
              <w:rPr>
                <w:rFonts w:ascii="Arial" w:hAnsi="Arial" w:cs="Arial"/>
                <w:sz w:val="20"/>
                <w:szCs w:val="20"/>
              </w:rPr>
            </w:pPr>
            <w:r w:rsidRPr="00D40002">
              <w:rPr>
                <w:rFonts w:ascii="Arial" w:hAnsi="Arial" w:cs="Arial"/>
                <w:bCs/>
                <w:sz w:val="20"/>
                <w:szCs w:val="20"/>
              </w:rPr>
              <w:t xml:space="preserve">Yanfeng ist ein weltweit führender Automobilzulieferer, der sich auf automobiles Interieur, Exterieur, Sitze, Cockpit-Elektronik und passive Sicherheitssysteme </w:t>
            </w:r>
            <w:r w:rsidR="00D24580" w:rsidRPr="00C70018">
              <w:rPr>
                <w:rFonts w:ascii="Arial" w:hAnsi="Arial" w:cs="Arial"/>
                <w:bCs/>
                <w:sz w:val="20"/>
                <w:szCs w:val="20"/>
              </w:rPr>
              <w:t>fokussiert</w:t>
            </w:r>
            <w:r w:rsidRPr="00D40002">
              <w:rPr>
                <w:rFonts w:ascii="Arial" w:hAnsi="Arial" w:cs="Arial"/>
                <w:bCs/>
                <w:sz w:val="20"/>
                <w:szCs w:val="20"/>
              </w:rPr>
              <w:t xml:space="preserve">. Das Unternehmen beschäftigt global rund </w:t>
            </w:r>
            <w:r w:rsidR="004D2842">
              <w:rPr>
                <w:rFonts w:ascii="Arial" w:hAnsi="Arial" w:cs="Arial"/>
                <w:bCs/>
                <w:sz w:val="20"/>
                <w:szCs w:val="20"/>
              </w:rPr>
              <w:t>67</w:t>
            </w:r>
            <w:r w:rsidRPr="00D40002">
              <w:rPr>
                <w:rFonts w:ascii="Arial" w:hAnsi="Arial" w:cs="Arial"/>
                <w:bCs/>
                <w:sz w:val="20"/>
                <w:szCs w:val="20"/>
              </w:rPr>
              <w:t>.000 Mitarbeiter an über 240 Standorten. Das technische Team von 4.</w:t>
            </w:r>
            <w:r w:rsidR="0093077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D40002">
              <w:rPr>
                <w:rFonts w:ascii="Arial" w:hAnsi="Arial" w:cs="Arial"/>
                <w:bCs/>
                <w:sz w:val="20"/>
                <w:szCs w:val="20"/>
              </w:rPr>
              <w:t xml:space="preserve">00 Experten ist in </w:t>
            </w:r>
            <w:r w:rsidR="00F9491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276AC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D40002">
              <w:rPr>
                <w:rFonts w:ascii="Arial" w:hAnsi="Arial" w:cs="Arial"/>
                <w:bCs/>
                <w:sz w:val="20"/>
                <w:szCs w:val="20"/>
              </w:rPr>
              <w:t xml:space="preserve"> Forschungs- und Entwicklungszentren und anderen regionalen Büros tätig und verfügt über umfassende Kompetenzen, einschließlich Engineering und Softwareentwicklung, Design und Testvalidierung. Yanfeng ist auf Smart-</w:t>
            </w:r>
            <w:proofErr w:type="spellStart"/>
            <w:r w:rsidRPr="00D40002">
              <w:rPr>
                <w:rFonts w:ascii="Arial" w:hAnsi="Arial" w:cs="Arial"/>
                <w:bCs/>
                <w:sz w:val="20"/>
                <w:szCs w:val="20"/>
              </w:rPr>
              <w:t>Cabin</w:t>
            </w:r>
            <w:proofErr w:type="spellEnd"/>
            <w:r w:rsidRPr="00D40002">
              <w:rPr>
                <w:rFonts w:ascii="Arial" w:hAnsi="Arial" w:cs="Arial"/>
                <w:bCs/>
                <w:sz w:val="20"/>
                <w:szCs w:val="20"/>
              </w:rPr>
              <w:t xml:space="preserve">-Konzepte (Konzepte für intelligente Fahrgasträume) und Leichtbautechnologien spezialisiert und unterstützt Automobilhersteller dabei, mit marktführenden Innenraumlösungen die Mobilität der Zukunft zu gestalten. Weitere Informationen finden Sie unter </w:t>
            </w:r>
            <w:hyperlink r:id="rId8" w:history="1">
              <w:r w:rsidR="00C25360" w:rsidRPr="00FB1A1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www.yanfeng.com</w:t>
              </w:r>
            </w:hyperlink>
            <w:r w:rsidRPr="00D4000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085033" w:rsidRPr="00234E67" w14:paraId="6597E602" w14:textId="77777777" w:rsidTr="00B51288">
        <w:trPr>
          <w:trHeight w:val="1721"/>
        </w:trPr>
        <w:tc>
          <w:tcPr>
            <w:tcW w:w="1637" w:type="pct"/>
            <w:tcBorders>
              <w:bottom w:val="single" w:sz="4" w:space="0" w:color="2D4A9B"/>
            </w:tcBorders>
          </w:tcPr>
          <w:p w14:paraId="22562781" w14:textId="50C201CC" w:rsidR="008A06CA" w:rsidRPr="00C70018" w:rsidRDefault="008A06CA" w:rsidP="0050564D">
            <w:pPr>
              <w:pStyle w:val="BodyText"/>
              <w:tabs>
                <w:tab w:val="left" w:pos="3119"/>
                <w:tab w:val="left" w:pos="3261"/>
              </w:tabs>
              <w:rPr>
                <w:rFonts w:cs="Arial"/>
                <w:noProof/>
                <w:sz w:val="20"/>
                <w:lang w:val="de-DE"/>
              </w:rPr>
            </w:pPr>
            <w:r w:rsidRPr="00C70018">
              <w:rPr>
                <w:rFonts w:cs="Arial"/>
                <w:b w:val="0"/>
                <w:noProof/>
                <w:sz w:val="20"/>
                <w:lang w:val="de-DE"/>
              </w:rPr>
              <w:br w:type="page"/>
            </w:r>
            <w:r w:rsidR="00234E67" w:rsidRPr="00C70018">
              <w:rPr>
                <w:rFonts w:cs="Arial"/>
                <w:noProof/>
                <w:sz w:val="20"/>
                <w:lang w:val="de-DE"/>
              </w:rPr>
              <w:t>Kunden</w:t>
            </w:r>
          </w:p>
        </w:tc>
        <w:tc>
          <w:tcPr>
            <w:tcW w:w="3363" w:type="pct"/>
            <w:tcBorders>
              <w:bottom w:val="single" w:sz="4" w:space="0" w:color="2D4A9B"/>
            </w:tcBorders>
          </w:tcPr>
          <w:p w14:paraId="5E365641" w14:textId="18F42990" w:rsidR="008A06CA" w:rsidRPr="00C70018" w:rsidRDefault="007751C5" w:rsidP="0050564D">
            <w:pPr>
              <w:tabs>
                <w:tab w:val="left" w:pos="3119"/>
                <w:tab w:val="left" w:pos="3261"/>
              </w:tabs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Acura, Alfa Romeo,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>ARCOFOX</w:t>
            </w:r>
            <w:r w:rsidRPr="00C70018">
              <w:rPr>
                <w:rFonts w:ascii="Arial" w:hAnsi="Arial" w:cs="Arial"/>
                <w:bCs/>
                <w:noProof/>
                <w:sz w:val="20"/>
                <w:szCs w:val="20"/>
                <w:lang w:eastAsia="de-DE"/>
              </w:rPr>
              <w:t xml:space="preserve"> 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>Audi</w:t>
            </w:r>
            <w:r w:rsidRPr="00C70018">
              <w:rPr>
                <w:rFonts w:ascii="Arial" w:hAnsi="Arial" w:cs="Arial"/>
                <w:bCs/>
                <w:noProof/>
                <w:sz w:val="20"/>
                <w:szCs w:val="20"/>
                <w:lang w:eastAsia="de-DE"/>
              </w:rPr>
              <w:t>, Baojun,</w:t>
            </w:r>
            <w:r w:rsidRPr="00C7001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 </w:t>
            </w:r>
            <w:r w:rsidRPr="00C70018">
              <w:rPr>
                <w:rFonts w:ascii="Arial" w:hAnsi="Arial" w:cs="Arial"/>
                <w:bCs/>
                <w:noProof/>
                <w:sz w:val="20"/>
                <w:szCs w:val="20"/>
                <w:lang w:eastAsia="de-DE"/>
              </w:rPr>
              <w:t xml:space="preserve">Beiben, 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>Beijing Auto,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 BMW, 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>Brillia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>n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ce,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Buick,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BYD,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Cadillac, Changan,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ChangHe,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Chevrolet, Chrysler,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CIIMO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Citroën,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DAF, Denza,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Dodge, Dongfeng,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DORCEN, DS,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>Englon, FAW, Fe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>ngdu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Fengguang, Fengshen,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Fiat, Ford, Foton, Geely, GMC,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>Gonow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, Honda,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HOWO,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Hyundai, Infiniti,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JAC,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Jaguar, Jeep, Jianghuai, Kia, Lancia, Land Rover, Lexus, Lincoln,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Luxgen, Lynk&amp;co, Maserati, Maxus,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>Mazda, Mercedes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>-Benz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, MG, Mini, Mitsubishi, 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NIO,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Nissan, Opel, 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Oushang,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Peugeot, Piaggio, 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Polestar,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Porsche, 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>Ram, Redflag, Renault, Rivian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, Roewe, Seat, 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Senova, Sinogold,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>Skoda, S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>OL</w:t>
            </w:r>
            <w:r w:rsidR="00085033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Suzuki, Toyota, 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Traum, Trumpchi, Venucia,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 V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>olkswagen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, 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Volvo, Weiwang, WM,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Wuling, 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 xml:space="preserve">Xpeng, Xuande, </w:t>
            </w:r>
            <w:r w:rsidR="008A06CA" w:rsidRPr="00C70018">
              <w:rPr>
                <w:rFonts w:ascii="Arial" w:hAnsi="Arial" w:cs="Arial"/>
                <w:noProof/>
                <w:sz w:val="20"/>
                <w:szCs w:val="20"/>
              </w:rPr>
              <w:t>Zhonghua</w:t>
            </w:r>
            <w:r w:rsidRPr="00C70018">
              <w:rPr>
                <w:rFonts w:ascii="Arial" w:hAnsi="Arial" w:cs="Arial"/>
                <w:noProof/>
                <w:sz w:val="20"/>
                <w:szCs w:val="20"/>
              </w:rPr>
              <w:t>, Zinoro, Zotye</w:t>
            </w:r>
          </w:p>
        </w:tc>
      </w:tr>
    </w:tbl>
    <w:p w14:paraId="7FD555B1" w14:textId="77777777" w:rsidR="00340284" w:rsidRPr="00234E67" w:rsidRDefault="00340284" w:rsidP="00CB1C6C">
      <w:pPr>
        <w:spacing w:after="0" w:line="240" w:lineRule="auto"/>
        <w:ind w:right="567"/>
        <w:rPr>
          <w:rFonts w:ascii="Arial" w:hAnsi="Arial" w:cs="Arial"/>
          <w:sz w:val="20"/>
          <w:szCs w:val="20"/>
        </w:rPr>
      </w:pPr>
    </w:p>
    <w:sectPr w:rsidR="00340284" w:rsidRPr="00234E67" w:rsidSect="009F1A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247" w:bottom="851" w:left="1247" w:header="57" w:footer="4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9389" w14:textId="77777777" w:rsidR="00FF3C29" w:rsidRDefault="00FF3C29">
      <w:r>
        <w:separator/>
      </w:r>
    </w:p>
  </w:endnote>
  <w:endnote w:type="continuationSeparator" w:id="0">
    <w:p w14:paraId="08A35BC9" w14:textId="77777777" w:rsidR="00FF3C29" w:rsidRDefault="00FF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7111" w14:textId="77777777" w:rsidR="00335E46" w:rsidRDefault="00335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B7B5" w14:textId="77777777" w:rsidR="00335E46" w:rsidRDefault="00335E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8C40A" w14:textId="77777777" w:rsidR="00335E46" w:rsidRDefault="00335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5D66" w14:textId="77777777" w:rsidR="00FF3C29" w:rsidRDefault="00FF3C29">
      <w:r>
        <w:separator/>
      </w:r>
    </w:p>
  </w:footnote>
  <w:footnote w:type="continuationSeparator" w:id="0">
    <w:p w14:paraId="740B80B6" w14:textId="77777777" w:rsidR="00FF3C29" w:rsidRDefault="00FF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6344" w14:textId="77777777" w:rsidR="00335E46" w:rsidRDefault="00335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F0B3" w14:textId="11D9C784" w:rsidR="00A2516D" w:rsidRDefault="000678B1" w:rsidP="00A2516D">
    <w:pPr>
      <w:tabs>
        <w:tab w:val="left" w:pos="1853"/>
      </w:tabs>
    </w:pPr>
    <w:r>
      <w:rPr>
        <w:rFonts w:ascii="Arial" w:hAnsi="Arial"/>
        <w:noProof/>
        <w:lang w:eastAsia="zh-TW"/>
      </w:rPr>
      <w:drawing>
        <wp:anchor distT="0" distB="0" distL="114300" distR="114300" simplePos="0" relativeHeight="251663360" behindDoc="1" locked="0" layoutInCell="1" allowOverlap="1" wp14:anchorId="12D10F86" wp14:editId="1B791AB7">
          <wp:simplePos x="0" y="0"/>
          <wp:positionH relativeFrom="margin">
            <wp:posOffset>532130</wp:posOffset>
          </wp:positionH>
          <wp:positionV relativeFrom="paragraph">
            <wp:posOffset>1165860</wp:posOffset>
          </wp:positionV>
          <wp:extent cx="4600575" cy="589915"/>
          <wp:effectExtent l="0" t="0" r="9525" b="635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0575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516D">
      <w:tab/>
    </w:r>
  </w:p>
  <w:tbl>
    <w:tblPr>
      <w:tblW w:w="9577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663"/>
      <w:gridCol w:w="2914"/>
    </w:tblGrid>
    <w:tr w:rsidR="00A2516D" w:rsidRPr="00E53216" w14:paraId="4DE228CA" w14:textId="77777777" w:rsidTr="00DB6A0D">
      <w:trPr>
        <w:trHeight w:hRule="exact" w:val="1195"/>
      </w:trPr>
      <w:tc>
        <w:tcPr>
          <w:tcW w:w="6663" w:type="dxa"/>
          <w:tcMar>
            <w:left w:w="0" w:type="dxa"/>
            <w:bottom w:w="0" w:type="dxa"/>
            <w:right w:w="0" w:type="dxa"/>
          </w:tcMar>
          <w:vAlign w:val="center"/>
        </w:tcPr>
        <w:p w14:paraId="46A5E3FC" w14:textId="24C562F2" w:rsidR="00A2516D" w:rsidRPr="009A7B88" w:rsidRDefault="00A2516D" w:rsidP="00A2516D">
          <w:pPr>
            <w:pStyle w:val="Heading1"/>
            <w:tabs>
              <w:tab w:val="left" w:pos="3119"/>
              <w:tab w:val="left" w:pos="3261"/>
            </w:tabs>
            <w:spacing w:before="0" w:after="0" w:line="240" w:lineRule="auto"/>
            <w:ind w:right="-1106"/>
            <w:rPr>
              <w:rFonts w:ascii="Arial" w:hAnsi="Arial"/>
              <w:b w:val="0"/>
              <w:color w:val="2D4A9B"/>
              <w:szCs w:val="28"/>
            </w:rPr>
          </w:pPr>
          <w:r w:rsidRPr="009A7B88">
            <w:rPr>
              <w:rFonts w:ascii="Arial" w:hAnsi="Arial"/>
              <w:color w:val="2D4A9B"/>
              <w:szCs w:val="28"/>
            </w:rPr>
            <w:t xml:space="preserve">Yanfeng – </w:t>
          </w:r>
          <w:r w:rsidR="009A7B88" w:rsidRPr="009A7B88">
            <w:rPr>
              <w:rFonts w:ascii="Arial" w:hAnsi="Arial"/>
              <w:color w:val="2D4A9B"/>
              <w:szCs w:val="28"/>
            </w:rPr>
            <w:t>ein globales Unternehmen</w:t>
          </w:r>
        </w:p>
      </w:tc>
      <w:tc>
        <w:tcPr>
          <w:tcW w:w="2914" w:type="dxa"/>
          <w:vAlign w:val="bottom"/>
        </w:tcPr>
        <w:p w14:paraId="65281608" w14:textId="77777777" w:rsidR="00A2516D" w:rsidRPr="00E53216" w:rsidRDefault="00FC1B05" w:rsidP="00A2516D">
          <w:pPr>
            <w:rPr>
              <w:color w:val="2D4A9B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773B7244" wp14:editId="3E9B86C0">
                <wp:simplePos x="0" y="0"/>
                <wp:positionH relativeFrom="column">
                  <wp:posOffset>281305</wp:posOffset>
                </wp:positionH>
                <wp:positionV relativeFrom="paragraph">
                  <wp:posOffset>-309880</wp:posOffset>
                </wp:positionV>
                <wp:extent cx="1576800" cy="42480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Yanfeng_White_PNG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6800" cy="42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43BF32" w14:textId="2E51C405" w:rsidR="00A2516D" w:rsidRDefault="00A2516D" w:rsidP="00A2516D">
    <w:pPr>
      <w:rPr>
        <w:sz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0D97" w14:textId="77777777" w:rsidR="00335E46" w:rsidRDefault="00335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0354"/>
    <w:multiLevelType w:val="hybridMultilevel"/>
    <w:tmpl w:val="A3BC05F6"/>
    <w:lvl w:ilvl="0" w:tplc="C6647B38">
      <w:start w:val="1"/>
      <w:numFmt w:val="decimal"/>
      <w:lvlText w:val="%1."/>
      <w:lvlJc w:val="left"/>
      <w:pPr>
        <w:ind w:left="765" w:hanging="360"/>
      </w:pPr>
      <w:rPr>
        <w:rFonts w:hint="default"/>
        <w:b/>
        <w:i w:val="0"/>
      </w:rPr>
    </w:lvl>
    <w:lvl w:ilvl="1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205" w:hanging="180"/>
      </w:pPr>
    </w:lvl>
    <w:lvl w:ilvl="3" w:tplc="0407000F" w:tentative="1">
      <w:start w:val="1"/>
      <w:numFmt w:val="decimal"/>
      <w:lvlText w:val="%4."/>
      <w:lvlJc w:val="left"/>
      <w:pPr>
        <w:ind w:left="2925" w:hanging="360"/>
      </w:pPr>
    </w:lvl>
    <w:lvl w:ilvl="4" w:tplc="04070019" w:tentative="1">
      <w:start w:val="1"/>
      <w:numFmt w:val="lowerLetter"/>
      <w:lvlText w:val="%5."/>
      <w:lvlJc w:val="left"/>
      <w:pPr>
        <w:ind w:left="3645" w:hanging="360"/>
      </w:pPr>
    </w:lvl>
    <w:lvl w:ilvl="5" w:tplc="0407001B" w:tentative="1">
      <w:start w:val="1"/>
      <w:numFmt w:val="lowerRoman"/>
      <w:lvlText w:val="%6."/>
      <w:lvlJc w:val="right"/>
      <w:pPr>
        <w:ind w:left="4365" w:hanging="180"/>
      </w:pPr>
    </w:lvl>
    <w:lvl w:ilvl="6" w:tplc="0407000F" w:tentative="1">
      <w:start w:val="1"/>
      <w:numFmt w:val="decimal"/>
      <w:lvlText w:val="%7."/>
      <w:lvlJc w:val="left"/>
      <w:pPr>
        <w:ind w:left="5085" w:hanging="360"/>
      </w:pPr>
    </w:lvl>
    <w:lvl w:ilvl="7" w:tplc="04070019" w:tentative="1">
      <w:start w:val="1"/>
      <w:numFmt w:val="lowerLetter"/>
      <w:lvlText w:val="%8."/>
      <w:lvlJc w:val="left"/>
      <w:pPr>
        <w:ind w:left="5805" w:hanging="360"/>
      </w:pPr>
    </w:lvl>
    <w:lvl w:ilvl="8" w:tplc="040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50367B39"/>
    <w:multiLevelType w:val="hybridMultilevel"/>
    <w:tmpl w:val="02827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2663"/>
    <w:multiLevelType w:val="hybridMultilevel"/>
    <w:tmpl w:val="A622D5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22528104">
    <w:abstractNumId w:val="0"/>
  </w:num>
  <w:num w:numId="2" w16cid:durableId="1212888597">
    <w:abstractNumId w:val="1"/>
  </w:num>
  <w:num w:numId="3" w16cid:durableId="1298532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1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5AD"/>
    <w:rsid w:val="00016591"/>
    <w:rsid w:val="00020435"/>
    <w:rsid w:val="0003129C"/>
    <w:rsid w:val="00032724"/>
    <w:rsid w:val="00036DB3"/>
    <w:rsid w:val="00037FA4"/>
    <w:rsid w:val="00047E96"/>
    <w:rsid w:val="00062437"/>
    <w:rsid w:val="000624C2"/>
    <w:rsid w:val="000678B1"/>
    <w:rsid w:val="000737FB"/>
    <w:rsid w:val="00085033"/>
    <w:rsid w:val="00086627"/>
    <w:rsid w:val="00094D0B"/>
    <w:rsid w:val="000A06C1"/>
    <w:rsid w:val="000E0106"/>
    <w:rsid w:val="000E1FE8"/>
    <w:rsid w:val="000E5452"/>
    <w:rsid w:val="00100F2F"/>
    <w:rsid w:val="001023B0"/>
    <w:rsid w:val="001128A3"/>
    <w:rsid w:val="00137DFC"/>
    <w:rsid w:val="00171573"/>
    <w:rsid w:val="00181C83"/>
    <w:rsid w:val="001832F9"/>
    <w:rsid w:val="00183AA2"/>
    <w:rsid w:val="00183F39"/>
    <w:rsid w:val="001865E0"/>
    <w:rsid w:val="00195627"/>
    <w:rsid w:val="001C7288"/>
    <w:rsid w:val="001D39F3"/>
    <w:rsid w:val="001D686F"/>
    <w:rsid w:val="001D69A3"/>
    <w:rsid w:val="001E6BCE"/>
    <w:rsid w:val="001F15B8"/>
    <w:rsid w:val="00204762"/>
    <w:rsid w:val="00211813"/>
    <w:rsid w:val="00230D15"/>
    <w:rsid w:val="00231534"/>
    <w:rsid w:val="002342C2"/>
    <w:rsid w:val="002347A7"/>
    <w:rsid w:val="00234E67"/>
    <w:rsid w:val="00244B37"/>
    <w:rsid w:val="00256163"/>
    <w:rsid w:val="002653CB"/>
    <w:rsid w:val="0026712D"/>
    <w:rsid w:val="00267824"/>
    <w:rsid w:val="00276BC0"/>
    <w:rsid w:val="00276DB3"/>
    <w:rsid w:val="00283CB5"/>
    <w:rsid w:val="00291CCD"/>
    <w:rsid w:val="00293E79"/>
    <w:rsid w:val="002A0927"/>
    <w:rsid w:val="002B1C48"/>
    <w:rsid w:val="002B477A"/>
    <w:rsid w:val="002C573D"/>
    <w:rsid w:val="002E3E8A"/>
    <w:rsid w:val="002F3593"/>
    <w:rsid w:val="002F5AE5"/>
    <w:rsid w:val="00306655"/>
    <w:rsid w:val="00314D29"/>
    <w:rsid w:val="0031530B"/>
    <w:rsid w:val="003341EF"/>
    <w:rsid w:val="00335518"/>
    <w:rsid w:val="00335E46"/>
    <w:rsid w:val="003377E4"/>
    <w:rsid w:val="00340284"/>
    <w:rsid w:val="00342409"/>
    <w:rsid w:val="00347D65"/>
    <w:rsid w:val="00352CCC"/>
    <w:rsid w:val="0035667D"/>
    <w:rsid w:val="0036741A"/>
    <w:rsid w:val="00383942"/>
    <w:rsid w:val="003A0DB1"/>
    <w:rsid w:val="003A4EF6"/>
    <w:rsid w:val="003A7D8C"/>
    <w:rsid w:val="003B081E"/>
    <w:rsid w:val="003B14FC"/>
    <w:rsid w:val="003B60E9"/>
    <w:rsid w:val="003C4173"/>
    <w:rsid w:val="003C798B"/>
    <w:rsid w:val="003D19FD"/>
    <w:rsid w:val="00402878"/>
    <w:rsid w:val="00403B62"/>
    <w:rsid w:val="00412270"/>
    <w:rsid w:val="00432266"/>
    <w:rsid w:val="0044321F"/>
    <w:rsid w:val="00444D49"/>
    <w:rsid w:val="004476BA"/>
    <w:rsid w:val="00462625"/>
    <w:rsid w:val="00464D4D"/>
    <w:rsid w:val="00466388"/>
    <w:rsid w:val="00477EB4"/>
    <w:rsid w:val="00483E56"/>
    <w:rsid w:val="00492A72"/>
    <w:rsid w:val="004956D4"/>
    <w:rsid w:val="004B08CD"/>
    <w:rsid w:val="004B3BC3"/>
    <w:rsid w:val="004C2154"/>
    <w:rsid w:val="004D2842"/>
    <w:rsid w:val="004D48C7"/>
    <w:rsid w:val="004D52BC"/>
    <w:rsid w:val="004E175A"/>
    <w:rsid w:val="004F2C6F"/>
    <w:rsid w:val="00504D7D"/>
    <w:rsid w:val="00512D00"/>
    <w:rsid w:val="00515639"/>
    <w:rsid w:val="00516A6F"/>
    <w:rsid w:val="0053421D"/>
    <w:rsid w:val="00555C77"/>
    <w:rsid w:val="00556936"/>
    <w:rsid w:val="00563D10"/>
    <w:rsid w:val="00566494"/>
    <w:rsid w:val="005913C6"/>
    <w:rsid w:val="00592811"/>
    <w:rsid w:val="005A06E6"/>
    <w:rsid w:val="005A2782"/>
    <w:rsid w:val="005A666C"/>
    <w:rsid w:val="005B121D"/>
    <w:rsid w:val="005C1C3A"/>
    <w:rsid w:val="005C5C8C"/>
    <w:rsid w:val="005C737A"/>
    <w:rsid w:val="005C76BC"/>
    <w:rsid w:val="005D2901"/>
    <w:rsid w:val="005F38F4"/>
    <w:rsid w:val="005F3913"/>
    <w:rsid w:val="005F68B4"/>
    <w:rsid w:val="005F742A"/>
    <w:rsid w:val="0060231E"/>
    <w:rsid w:val="00602A80"/>
    <w:rsid w:val="00603A60"/>
    <w:rsid w:val="00606837"/>
    <w:rsid w:val="00606E30"/>
    <w:rsid w:val="0061056C"/>
    <w:rsid w:val="00612B95"/>
    <w:rsid w:val="0061507B"/>
    <w:rsid w:val="00623F2D"/>
    <w:rsid w:val="006522D9"/>
    <w:rsid w:val="00654246"/>
    <w:rsid w:val="00664CD9"/>
    <w:rsid w:val="006753F3"/>
    <w:rsid w:val="00675E7F"/>
    <w:rsid w:val="006A6484"/>
    <w:rsid w:val="006A786C"/>
    <w:rsid w:val="006B3269"/>
    <w:rsid w:val="006D4EA0"/>
    <w:rsid w:val="006E0749"/>
    <w:rsid w:val="006E1F80"/>
    <w:rsid w:val="006F0724"/>
    <w:rsid w:val="006F4F2F"/>
    <w:rsid w:val="006F79A1"/>
    <w:rsid w:val="00701CA2"/>
    <w:rsid w:val="007043BD"/>
    <w:rsid w:val="00710333"/>
    <w:rsid w:val="00727289"/>
    <w:rsid w:val="00751384"/>
    <w:rsid w:val="00764394"/>
    <w:rsid w:val="007751C5"/>
    <w:rsid w:val="00787CC1"/>
    <w:rsid w:val="007908B6"/>
    <w:rsid w:val="007930F4"/>
    <w:rsid w:val="00793DFF"/>
    <w:rsid w:val="0079454D"/>
    <w:rsid w:val="00796F84"/>
    <w:rsid w:val="007A1C8B"/>
    <w:rsid w:val="007A72E0"/>
    <w:rsid w:val="007B248E"/>
    <w:rsid w:val="007C1343"/>
    <w:rsid w:val="007C4FD5"/>
    <w:rsid w:val="007C7BFF"/>
    <w:rsid w:val="008270CE"/>
    <w:rsid w:val="00841DF1"/>
    <w:rsid w:val="0084472A"/>
    <w:rsid w:val="00855785"/>
    <w:rsid w:val="0085751F"/>
    <w:rsid w:val="00862E4F"/>
    <w:rsid w:val="0087681B"/>
    <w:rsid w:val="008768D4"/>
    <w:rsid w:val="00883396"/>
    <w:rsid w:val="008879FD"/>
    <w:rsid w:val="00887C23"/>
    <w:rsid w:val="00896BB5"/>
    <w:rsid w:val="008A06CA"/>
    <w:rsid w:val="008B6678"/>
    <w:rsid w:val="008C2509"/>
    <w:rsid w:val="008C4230"/>
    <w:rsid w:val="008C7F4C"/>
    <w:rsid w:val="008D0922"/>
    <w:rsid w:val="008D2215"/>
    <w:rsid w:val="008D5BF5"/>
    <w:rsid w:val="008D60FC"/>
    <w:rsid w:val="008D70A1"/>
    <w:rsid w:val="008E1750"/>
    <w:rsid w:val="008E6B79"/>
    <w:rsid w:val="008F2B1C"/>
    <w:rsid w:val="00900083"/>
    <w:rsid w:val="009056FA"/>
    <w:rsid w:val="00930774"/>
    <w:rsid w:val="00932AD1"/>
    <w:rsid w:val="009411DF"/>
    <w:rsid w:val="00947B3E"/>
    <w:rsid w:val="00962219"/>
    <w:rsid w:val="00963CF8"/>
    <w:rsid w:val="00976EE6"/>
    <w:rsid w:val="009827E6"/>
    <w:rsid w:val="009954A7"/>
    <w:rsid w:val="00997451"/>
    <w:rsid w:val="009A370F"/>
    <w:rsid w:val="009A4C9D"/>
    <w:rsid w:val="009A7B88"/>
    <w:rsid w:val="009B13B2"/>
    <w:rsid w:val="009B781E"/>
    <w:rsid w:val="009C3FD2"/>
    <w:rsid w:val="009C5C36"/>
    <w:rsid w:val="009E358E"/>
    <w:rsid w:val="009F1A1E"/>
    <w:rsid w:val="00A02561"/>
    <w:rsid w:val="00A170B8"/>
    <w:rsid w:val="00A17CEF"/>
    <w:rsid w:val="00A2516D"/>
    <w:rsid w:val="00A25239"/>
    <w:rsid w:val="00A26507"/>
    <w:rsid w:val="00A35C1F"/>
    <w:rsid w:val="00A40361"/>
    <w:rsid w:val="00A4401B"/>
    <w:rsid w:val="00A529D1"/>
    <w:rsid w:val="00A543C7"/>
    <w:rsid w:val="00A62394"/>
    <w:rsid w:val="00A80422"/>
    <w:rsid w:val="00A902C8"/>
    <w:rsid w:val="00AB159B"/>
    <w:rsid w:val="00AB3D48"/>
    <w:rsid w:val="00AE1347"/>
    <w:rsid w:val="00AE22CD"/>
    <w:rsid w:val="00AE2D89"/>
    <w:rsid w:val="00AE4B6C"/>
    <w:rsid w:val="00B155AD"/>
    <w:rsid w:val="00B15AE8"/>
    <w:rsid w:val="00B22BCC"/>
    <w:rsid w:val="00B45A7F"/>
    <w:rsid w:val="00B51288"/>
    <w:rsid w:val="00B534AB"/>
    <w:rsid w:val="00B74ED0"/>
    <w:rsid w:val="00B86EBB"/>
    <w:rsid w:val="00B879A4"/>
    <w:rsid w:val="00B91A03"/>
    <w:rsid w:val="00BB743A"/>
    <w:rsid w:val="00BC6B50"/>
    <w:rsid w:val="00BD0168"/>
    <w:rsid w:val="00BE6441"/>
    <w:rsid w:val="00C0061B"/>
    <w:rsid w:val="00C040CC"/>
    <w:rsid w:val="00C054DC"/>
    <w:rsid w:val="00C21A2E"/>
    <w:rsid w:val="00C21F31"/>
    <w:rsid w:val="00C22ABA"/>
    <w:rsid w:val="00C25360"/>
    <w:rsid w:val="00C434AA"/>
    <w:rsid w:val="00C70018"/>
    <w:rsid w:val="00C70466"/>
    <w:rsid w:val="00C70FBE"/>
    <w:rsid w:val="00C76267"/>
    <w:rsid w:val="00C77E12"/>
    <w:rsid w:val="00C81028"/>
    <w:rsid w:val="00C81886"/>
    <w:rsid w:val="00C871E1"/>
    <w:rsid w:val="00CB1331"/>
    <w:rsid w:val="00CB1C6C"/>
    <w:rsid w:val="00CB22BF"/>
    <w:rsid w:val="00CB6463"/>
    <w:rsid w:val="00CB6DAC"/>
    <w:rsid w:val="00CD5C79"/>
    <w:rsid w:val="00CE1202"/>
    <w:rsid w:val="00D24580"/>
    <w:rsid w:val="00D40002"/>
    <w:rsid w:val="00D40597"/>
    <w:rsid w:val="00D67CCE"/>
    <w:rsid w:val="00D71CE8"/>
    <w:rsid w:val="00D74FED"/>
    <w:rsid w:val="00D75DBD"/>
    <w:rsid w:val="00D84BD0"/>
    <w:rsid w:val="00D94856"/>
    <w:rsid w:val="00D959E7"/>
    <w:rsid w:val="00DA171D"/>
    <w:rsid w:val="00DA29EF"/>
    <w:rsid w:val="00DB27F7"/>
    <w:rsid w:val="00DB389A"/>
    <w:rsid w:val="00DC3B5A"/>
    <w:rsid w:val="00DF0902"/>
    <w:rsid w:val="00E0705B"/>
    <w:rsid w:val="00E13785"/>
    <w:rsid w:val="00E1507B"/>
    <w:rsid w:val="00E17B1D"/>
    <w:rsid w:val="00E22644"/>
    <w:rsid w:val="00E3618E"/>
    <w:rsid w:val="00E521CE"/>
    <w:rsid w:val="00E53216"/>
    <w:rsid w:val="00E569A4"/>
    <w:rsid w:val="00E72E39"/>
    <w:rsid w:val="00E90ACA"/>
    <w:rsid w:val="00EA1295"/>
    <w:rsid w:val="00EA4210"/>
    <w:rsid w:val="00ED0DAA"/>
    <w:rsid w:val="00ED13E3"/>
    <w:rsid w:val="00ED4CC5"/>
    <w:rsid w:val="00EE0D24"/>
    <w:rsid w:val="00EF1C53"/>
    <w:rsid w:val="00F1204B"/>
    <w:rsid w:val="00F15790"/>
    <w:rsid w:val="00F276AC"/>
    <w:rsid w:val="00F452C4"/>
    <w:rsid w:val="00F504A7"/>
    <w:rsid w:val="00F633AE"/>
    <w:rsid w:val="00F64912"/>
    <w:rsid w:val="00F72104"/>
    <w:rsid w:val="00F75B1B"/>
    <w:rsid w:val="00F77E3A"/>
    <w:rsid w:val="00F872F5"/>
    <w:rsid w:val="00F874B3"/>
    <w:rsid w:val="00F94912"/>
    <w:rsid w:val="00F959EB"/>
    <w:rsid w:val="00FA31C9"/>
    <w:rsid w:val="00FB0D2D"/>
    <w:rsid w:val="00FB6183"/>
    <w:rsid w:val="00FB735E"/>
    <w:rsid w:val="00FC1B05"/>
    <w:rsid w:val="00FC33AE"/>
    <w:rsid w:val="00FD29A9"/>
    <w:rsid w:val="00FD7B06"/>
    <w:rsid w:val="00FD7CC6"/>
    <w:rsid w:val="00FF3943"/>
    <w:rsid w:val="00FF3C29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44782E"/>
  <w15:docId w15:val="{AE94D6A5-494C-40E0-A293-C232BD1C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153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6B3269"/>
    <w:pPr>
      <w:keepNext/>
      <w:spacing w:before="240" w:after="60" w:line="280" w:lineRule="exact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58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658AE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F10219"/>
  </w:style>
  <w:style w:type="paragraph" w:customStyle="1" w:styleId="ContactInfo8512">
    <w:name w:val="Contact Info 8.5/12"/>
    <w:basedOn w:val="Normal"/>
    <w:rsid w:val="008900F4"/>
    <w:pPr>
      <w:spacing w:line="240" w:lineRule="exact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5A2782"/>
    <w:pPr>
      <w:ind w:left="720"/>
      <w:contextualSpacing/>
    </w:pPr>
  </w:style>
  <w:style w:type="paragraph" w:styleId="BodyText">
    <w:name w:val="Body Text"/>
    <w:basedOn w:val="Normal"/>
    <w:link w:val="BodyTextChar"/>
    <w:rsid w:val="00293E79"/>
    <w:pPr>
      <w:spacing w:after="0" w:line="240" w:lineRule="auto"/>
      <w:ind w:right="-108"/>
    </w:pPr>
    <w:rPr>
      <w:rFonts w:ascii="Arial" w:eastAsia="Times New Roman" w:hAnsi="Arial" w:cs="Times New Roman"/>
      <w:b/>
      <w:szCs w:val="20"/>
      <w:lang w:val="en-AU" w:eastAsia="de-DE"/>
    </w:rPr>
  </w:style>
  <w:style w:type="character" w:customStyle="1" w:styleId="BodyTextChar">
    <w:name w:val="Body Text Char"/>
    <w:basedOn w:val="DefaultParagraphFont"/>
    <w:link w:val="BodyText"/>
    <w:rsid w:val="00293E79"/>
    <w:rPr>
      <w:rFonts w:ascii="Arial" w:hAnsi="Arial"/>
      <w:b/>
      <w:sz w:val="22"/>
      <w:lang w:val="en-AU"/>
    </w:rPr>
  </w:style>
  <w:style w:type="character" w:styleId="CommentReference">
    <w:name w:val="annotation reference"/>
    <w:basedOn w:val="DefaultParagraphFont"/>
    <w:rsid w:val="00ED13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13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3E3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D13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13E3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rsid w:val="00ED1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13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s-rtefontsize-5">
    <w:name w:val="ms-rtefontsize-5"/>
    <w:basedOn w:val="DefaultParagraphFont"/>
    <w:rsid w:val="00C434AA"/>
  </w:style>
  <w:style w:type="character" w:styleId="Emphasis">
    <w:name w:val="Emphasis"/>
    <w:basedOn w:val="DefaultParagraphFont"/>
    <w:uiPriority w:val="20"/>
    <w:qFormat/>
    <w:rsid w:val="00C434AA"/>
    <w:rPr>
      <w:i/>
      <w:iCs/>
    </w:rPr>
  </w:style>
  <w:style w:type="paragraph" w:styleId="NormalWeb">
    <w:name w:val="Normal (Web)"/>
    <w:basedOn w:val="Normal"/>
    <w:uiPriority w:val="99"/>
    <w:unhideWhenUsed/>
    <w:rsid w:val="00C0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xn-location">
    <w:name w:val="xn-location"/>
    <w:basedOn w:val="DefaultParagraphFont"/>
    <w:rsid w:val="00C040CC"/>
  </w:style>
  <w:style w:type="character" w:styleId="Hyperlink">
    <w:name w:val="Hyperlink"/>
    <w:basedOn w:val="DefaultParagraphFont"/>
    <w:uiPriority w:val="99"/>
    <w:unhideWhenUsed/>
    <w:rsid w:val="00C040CC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01CA2"/>
    <w:rPr>
      <w:color w:val="2B579A"/>
      <w:shd w:val="clear" w:color="auto" w:fill="E6E6E6"/>
    </w:rPr>
  </w:style>
  <w:style w:type="paragraph" w:customStyle="1" w:styleId="Default">
    <w:name w:val="Default"/>
    <w:rsid w:val="00701C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0D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feng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F0D92-953E-4A4B-992D-B70FAC0B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YF F&amp;F</vt:lpstr>
      <vt:lpstr>YFAI F&amp;F</vt:lpstr>
    </vt:vector>
  </TitlesOfParts>
  <Company>YFAI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YF F&amp;F</dc:title>
  <dc:creator>Astrid Schafmeister (Neuss,DE)</dc:creator>
  <cp:lastModifiedBy>Astrid Schafmeister (YFI,Neuss,DE)</cp:lastModifiedBy>
  <cp:revision>3</cp:revision>
  <cp:lastPrinted>2020-06-15T07:07:00Z</cp:lastPrinted>
  <dcterms:created xsi:type="dcterms:W3CDTF">2023-06-16T06:29:00Z</dcterms:created>
  <dcterms:modified xsi:type="dcterms:W3CDTF">2023-06-20T20:26:00Z</dcterms:modified>
</cp:coreProperties>
</file>